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2E0A8" w14:textId="77777777" w:rsidR="00F1074F" w:rsidRDefault="00F1074F" w:rsidP="00F1074F">
      <w:pPr>
        <w:tabs>
          <w:tab w:val="left" w:pos="2670"/>
        </w:tabs>
        <w:rPr>
          <w:b/>
          <w:sz w:val="22"/>
        </w:rPr>
      </w:pPr>
      <w:r>
        <w:rPr>
          <w:b/>
          <w:sz w:val="22"/>
        </w:rPr>
        <w:t>Evento Promosso da</w:t>
      </w:r>
    </w:p>
    <w:p w14:paraId="57A4EE52" w14:textId="77777777" w:rsidR="00F1074F" w:rsidRDefault="00F1074F" w:rsidP="00F1074F">
      <w:pPr>
        <w:tabs>
          <w:tab w:val="left" w:pos="2670"/>
        </w:tabs>
        <w:rPr>
          <w:sz w:val="22"/>
        </w:rPr>
      </w:pPr>
      <w:bookmarkStart w:id="0" w:name="_Hlk485906944"/>
      <w:bookmarkStart w:id="1" w:name="_GoBack"/>
      <w:r>
        <w:rPr>
          <w:sz w:val="22"/>
        </w:rPr>
        <w:t>Società Italiana Tossico Dipendenze – Sezione Lombardia - SITD</w:t>
      </w:r>
    </w:p>
    <w:bookmarkEnd w:id="0"/>
    <w:bookmarkEnd w:id="1"/>
    <w:p w14:paraId="6D57A025" w14:textId="77777777" w:rsidR="00F1074F" w:rsidRDefault="00F1074F" w:rsidP="00273C6E">
      <w:pPr>
        <w:jc w:val="center"/>
        <w:rPr>
          <w:b/>
          <w:sz w:val="28"/>
        </w:rPr>
      </w:pPr>
    </w:p>
    <w:p w14:paraId="55A79BE8" w14:textId="77777777" w:rsidR="00F1074F" w:rsidRDefault="00F1074F" w:rsidP="00273C6E">
      <w:pPr>
        <w:jc w:val="center"/>
        <w:rPr>
          <w:b/>
          <w:sz w:val="28"/>
        </w:rPr>
      </w:pPr>
    </w:p>
    <w:p w14:paraId="1A1505D9" w14:textId="77777777" w:rsidR="00273C6E" w:rsidRPr="00203127" w:rsidRDefault="00273C6E" w:rsidP="00273C6E">
      <w:pPr>
        <w:jc w:val="center"/>
        <w:rPr>
          <w:b/>
          <w:sz w:val="28"/>
        </w:rPr>
      </w:pPr>
      <w:r w:rsidRPr="00203127">
        <w:rPr>
          <w:b/>
          <w:sz w:val="28"/>
        </w:rPr>
        <w:t>DISTURBI DA USO DI SOSTANZE, GAMBLING E INDUSTRY 4.0</w:t>
      </w:r>
    </w:p>
    <w:p w14:paraId="338E2542" w14:textId="77777777" w:rsidR="00273C6E" w:rsidRPr="00203127" w:rsidRDefault="00273C6E" w:rsidP="00273C6E">
      <w:pPr>
        <w:jc w:val="center"/>
        <w:rPr>
          <w:b/>
          <w:i/>
          <w:sz w:val="28"/>
        </w:rPr>
      </w:pPr>
      <w:r w:rsidRPr="00203127">
        <w:rPr>
          <w:b/>
          <w:i/>
          <w:sz w:val="28"/>
        </w:rPr>
        <w:t>Convergenze delle nuove tecnologie per la prevenzione e la cura</w:t>
      </w:r>
    </w:p>
    <w:p w14:paraId="6F381D21" w14:textId="77777777" w:rsidR="00273C6E" w:rsidRPr="00203127" w:rsidRDefault="00273C6E" w:rsidP="00273C6E">
      <w:pPr>
        <w:jc w:val="center"/>
        <w:rPr>
          <w:i/>
          <w:sz w:val="28"/>
        </w:rPr>
      </w:pPr>
    </w:p>
    <w:p w14:paraId="56C2781E" w14:textId="77777777" w:rsidR="00273C6E" w:rsidRDefault="00273C6E" w:rsidP="00273C6E">
      <w:pPr>
        <w:jc w:val="center"/>
        <w:rPr>
          <w:sz w:val="22"/>
        </w:rPr>
      </w:pPr>
      <w:r>
        <w:rPr>
          <w:sz w:val="22"/>
        </w:rPr>
        <w:t xml:space="preserve">3 </w:t>
      </w:r>
      <w:r w:rsidRPr="00B36946">
        <w:rPr>
          <w:sz w:val="22"/>
        </w:rPr>
        <w:t>ottobre 2017</w:t>
      </w:r>
    </w:p>
    <w:p w14:paraId="7D86FDEC" w14:textId="77777777" w:rsidR="00273C6E" w:rsidRDefault="00273C6E" w:rsidP="00273C6E">
      <w:pPr>
        <w:jc w:val="center"/>
        <w:rPr>
          <w:sz w:val="22"/>
        </w:rPr>
      </w:pPr>
    </w:p>
    <w:p w14:paraId="3EC83D92" w14:textId="77777777" w:rsidR="00273C6E" w:rsidRDefault="00273C6E" w:rsidP="00273C6E">
      <w:pPr>
        <w:jc w:val="center"/>
        <w:rPr>
          <w:sz w:val="22"/>
        </w:rPr>
      </w:pPr>
      <w:r>
        <w:rPr>
          <w:sz w:val="22"/>
        </w:rPr>
        <w:t>Edizione 1</w:t>
      </w:r>
    </w:p>
    <w:p w14:paraId="22EEE72D" w14:textId="77777777" w:rsidR="00273C6E" w:rsidRDefault="00273C6E" w:rsidP="00273C6E">
      <w:pPr>
        <w:jc w:val="center"/>
        <w:rPr>
          <w:sz w:val="22"/>
        </w:rPr>
      </w:pPr>
    </w:p>
    <w:p w14:paraId="16703FEB" w14:textId="5C7ED288" w:rsidR="00F1074F" w:rsidRDefault="00CB2AC8" w:rsidP="00273C6E">
      <w:pPr>
        <w:jc w:val="center"/>
        <w:rPr>
          <w:sz w:val="22"/>
        </w:rPr>
      </w:pPr>
      <w:r>
        <w:rPr>
          <w:rFonts w:ascii="Calibri" w:eastAsiaTheme="minorHAnsi" w:hAnsi="Calibri" w:cs="Calibri"/>
          <w:sz w:val="22"/>
          <w:szCs w:val="22"/>
        </w:rPr>
        <w:t>CineTeatro San Carlo, via Morozzo della Rocca, 12 - Milano</w:t>
      </w:r>
    </w:p>
    <w:p w14:paraId="6B50E49F" w14:textId="77777777" w:rsidR="00273C6E" w:rsidRPr="00B36946" w:rsidRDefault="00273C6E" w:rsidP="00273C6E">
      <w:pPr>
        <w:jc w:val="center"/>
        <w:rPr>
          <w:sz w:val="22"/>
        </w:rPr>
      </w:pPr>
    </w:p>
    <w:p w14:paraId="195FA831" w14:textId="77777777" w:rsidR="00273C6E" w:rsidRDefault="00273C6E" w:rsidP="00273C6E">
      <w:pPr>
        <w:jc w:val="center"/>
        <w:rPr>
          <w:b/>
          <w:sz w:val="22"/>
        </w:rPr>
      </w:pPr>
    </w:p>
    <w:p w14:paraId="05C4202B" w14:textId="77777777" w:rsidR="00273C6E" w:rsidRDefault="00273C6E" w:rsidP="00273C6E">
      <w:pPr>
        <w:rPr>
          <w:b/>
          <w:sz w:val="22"/>
        </w:rPr>
      </w:pPr>
      <w:r>
        <w:rPr>
          <w:b/>
          <w:sz w:val="22"/>
        </w:rPr>
        <w:t>Programma scientifico</w:t>
      </w:r>
    </w:p>
    <w:p w14:paraId="5012C638" w14:textId="77777777" w:rsidR="00273C6E" w:rsidRPr="00B36946" w:rsidRDefault="00273C6E" w:rsidP="00273C6E">
      <w:pPr>
        <w:jc w:val="center"/>
        <w:rPr>
          <w:sz w:val="22"/>
          <w:u w:val="single"/>
        </w:rPr>
      </w:pPr>
    </w:p>
    <w:p w14:paraId="7B4B3FD0" w14:textId="77777777" w:rsidR="00273C6E" w:rsidRPr="00DD5D72" w:rsidRDefault="00273C6E" w:rsidP="00273C6E">
      <w:pPr>
        <w:rPr>
          <w:sz w:val="22"/>
        </w:rPr>
      </w:pPr>
      <w:r>
        <w:rPr>
          <w:sz w:val="22"/>
        </w:rPr>
        <w:t>9.00 - 9.30</w:t>
      </w:r>
      <w:r>
        <w:rPr>
          <w:sz w:val="22"/>
        </w:rPr>
        <w:tab/>
      </w:r>
      <w:r>
        <w:rPr>
          <w:sz w:val="22"/>
        </w:rPr>
        <w:tab/>
      </w:r>
      <w:r w:rsidRPr="00DD5D72">
        <w:rPr>
          <w:sz w:val="22"/>
        </w:rPr>
        <w:t>Registrazione dei partecipanti</w:t>
      </w:r>
    </w:p>
    <w:p w14:paraId="10DBF6DE" w14:textId="77777777" w:rsidR="00273C6E" w:rsidRDefault="00273C6E" w:rsidP="00273C6E">
      <w:pPr>
        <w:rPr>
          <w:sz w:val="22"/>
        </w:rPr>
      </w:pPr>
    </w:p>
    <w:p w14:paraId="619A5021" w14:textId="77777777" w:rsidR="00273C6E" w:rsidRPr="00DD5D72" w:rsidRDefault="00273C6E" w:rsidP="00273C6E">
      <w:pPr>
        <w:rPr>
          <w:sz w:val="22"/>
        </w:rPr>
      </w:pPr>
      <w:r w:rsidRPr="00DD5D72">
        <w:rPr>
          <w:sz w:val="22"/>
        </w:rPr>
        <w:t>9.30</w:t>
      </w:r>
      <w:r>
        <w:rPr>
          <w:sz w:val="22"/>
        </w:rPr>
        <w:t xml:space="preserve"> – 9.50</w:t>
      </w:r>
      <w:r>
        <w:rPr>
          <w:sz w:val="22"/>
        </w:rPr>
        <w:tab/>
      </w:r>
      <w:r>
        <w:rPr>
          <w:sz w:val="22"/>
        </w:rPr>
        <w:tab/>
      </w:r>
      <w:r w:rsidRPr="00DD5D72">
        <w:rPr>
          <w:sz w:val="22"/>
        </w:rPr>
        <w:t>Saluti delle Autorità</w:t>
      </w:r>
    </w:p>
    <w:p w14:paraId="7800E5A4" w14:textId="77777777" w:rsidR="00273C6E" w:rsidRPr="00DD5D72" w:rsidRDefault="00273C6E" w:rsidP="00273C6E">
      <w:pPr>
        <w:rPr>
          <w:sz w:val="22"/>
        </w:rPr>
      </w:pPr>
    </w:p>
    <w:p w14:paraId="5576B4BF" w14:textId="77777777" w:rsidR="00273C6E" w:rsidRPr="0066130C" w:rsidRDefault="00273C6E" w:rsidP="00273C6E">
      <w:pPr>
        <w:rPr>
          <w:i/>
          <w:sz w:val="22"/>
        </w:rPr>
      </w:pPr>
      <w:r w:rsidRPr="00DD5D72">
        <w:rPr>
          <w:sz w:val="22"/>
        </w:rPr>
        <w:t xml:space="preserve">Interventi preordinati: conduce e modera </w:t>
      </w:r>
      <w:r w:rsidRPr="0066130C">
        <w:rPr>
          <w:i/>
          <w:sz w:val="22"/>
        </w:rPr>
        <w:t>Giorgia Zunino</w:t>
      </w:r>
    </w:p>
    <w:p w14:paraId="4600DA14" w14:textId="77777777" w:rsidR="00273C6E" w:rsidRPr="00DD5D72" w:rsidRDefault="00273C6E" w:rsidP="00273C6E">
      <w:pPr>
        <w:rPr>
          <w:sz w:val="22"/>
        </w:rPr>
      </w:pPr>
    </w:p>
    <w:p w14:paraId="29BB112D" w14:textId="77777777" w:rsidR="00273C6E" w:rsidRPr="00DD5D72" w:rsidRDefault="00273C6E" w:rsidP="00273C6E">
      <w:pPr>
        <w:ind w:left="1410" w:hanging="1410"/>
        <w:rPr>
          <w:sz w:val="22"/>
        </w:rPr>
      </w:pPr>
      <w:r>
        <w:rPr>
          <w:sz w:val="22"/>
        </w:rPr>
        <w:t>9.50 – 10.10</w:t>
      </w:r>
      <w:r>
        <w:rPr>
          <w:sz w:val="22"/>
        </w:rPr>
        <w:tab/>
      </w:r>
      <w:r w:rsidRPr="00DD5D72">
        <w:rPr>
          <w:sz w:val="22"/>
        </w:rPr>
        <w:t xml:space="preserve">L’impatto sociale della quarta rivoluzione industriale sugli stili di vita e sui disturbi da </w:t>
      </w:r>
      <w:r>
        <w:rPr>
          <w:sz w:val="22"/>
        </w:rPr>
        <w:t xml:space="preserve">uso di sostanze e gambling. </w:t>
      </w:r>
      <w:r w:rsidRPr="00DD5D72">
        <w:rPr>
          <w:i/>
          <w:sz w:val="22"/>
        </w:rPr>
        <w:t>Roberto Mollica</w:t>
      </w:r>
    </w:p>
    <w:p w14:paraId="088EB202" w14:textId="77777777" w:rsidR="00273C6E" w:rsidRDefault="00273C6E" w:rsidP="00273C6E">
      <w:pPr>
        <w:rPr>
          <w:sz w:val="22"/>
        </w:rPr>
      </w:pPr>
    </w:p>
    <w:p w14:paraId="654FB537" w14:textId="77777777" w:rsidR="00273C6E" w:rsidRPr="00DD5D72" w:rsidRDefault="00273C6E" w:rsidP="00273C6E">
      <w:pPr>
        <w:ind w:left="1410" w:hanging="1410"/>
        <w:rPr>
          <w:sz w:val="22"/>
        </w:rPr>
      </w:pPr>
      <w:r>
        <w:rPr>
          <w:sz w:val="22"/>
        </w:rPr>
        <w:t>10.10 – 10.30</w:t>
      </w:r>
      <w:r w:rsidRPr="00DD5D72">
        <w:rPr>
          <w:sz w:val="22"/>
        </w:rPr>
        <w:t xml:space="preserve"> </w:t>
      </w:r>
      <w:r>
        <w:rPr>
          <w:sz w:val="22"/>
        </w:rPr>
        <w:tab/>
      </w:r>
      <w:r w:rsidRPr="00DD5D72">
        <w:rPr>
          <w:sz w:val="22"/>
        </w:rPr>
        <w:t>Vulnerabilità neuropsichica e adolescenza: prevenzione indicata e selettiva nel paradigma dei disturbi</w:t>
      </w:r>
      <w:r>
        <w:rPr>
          <w:sz w:val="22"/>
        </w:rPr>
        <w:t xml:space="preserve"> da dipendenza comportamentale. </w:t>
      </w:r>
      <w:r w:rsidRPr="00DD5D72">
        <w:rPr>
          <w:i/>
          <w:sz w:val="22"/>
        </w:rPr>
        <w:t>Gabriele Zanardi</w:t>
      </w:r>
    </w:p>
    <w:p w14:paraId="3DE7EB8D" w14:textId="77777777" w:rsidR="00273C6E" w:rsidRDefault="00273C6E" w:rsidP="00273C6E">
      <w:pPr>
        <w:rPr>
          <w:sz w:val="22"/>
        </w:rPr>
      </w:pPr>
    </w:p>
    <w:p w14:paraId="054461A2" w14:textId="77777777" w:rsidR="00273C6E" w:rsidRPr="00DD5D72" w:rsidRDefault="00273C6E" w:rsidP="00273C6E">
      <w:pPr>
        <w:ind w:left="1410" w:hanging="1410"/>
        <w:rPr>
          <w:sz w:val="22"/>
        </w:rPr>
      </w:pPr>
      <w:r>
        <w:rPr>
          <w:sz w:val="22"/>
        </w:rPr>
        <w:t>10.30 – 10.50</w:t>
      </w:r>
      <w:r w:rsidRPr="00DD5D72">
        <w:rPr>
          <w:sz w:val="22"/>
        </w:rPr>
        <w:t xml:space="preserve"> </w:t>
      </w:r>
      <w:r>
        <w:rPr>
          <w:sz w:val="22"/>
        </w:rPr>
        <w:tab/>
      </w:r>
      <w:r w:rsidRPr="00DD5D72">
        <w:rPr>
          <w:sz w:val="22"/>
        </w:rPr>
        <w:t xml:space="preserve">I social network e le app: strumenti strategici di comunicazione preventiva e di </w:t>
      </w:r>
      <w:r w:rsidRPr="00FC21BB">
        <w:rPr>
          <w:sz w:val="22"/>
        </w:rPr>
        <w:t xml:space="preserve">intervento. </w:t>
      </w:r>
      <w:r w:rsidRPr="00FC21BB">
        <w:rPr>
          <w:i/>
          <w:sz w:val="22"/>
        </w:rPr>
        <w:t>Eugenio Santoro</w:t>
      </w:r>
      <w:bookmarkStart w:id="2" w:name="_Hlk484419589"/>
    </w:p>
    <w:bookmarkEnd w:id="2"/>
    <w:p w14:paraId="2B623C6D" w14:textId="77777777" w:rsidR="00273C6E" w:rsidRDefault="00273C6E" w:rsidP="00273C6E">
      <w:pPr>
        <w:rPr>
          <w:sz w:val="22"/>
        </w:rPr>
      </w:pPr>
    </w:p>
    <w:p w14:paraId="72B4DA64" w14:textId="77777777" w:rsidR="00D20266" w:rsidRDefault="00273C6E" w:rsidP="00273C6E">
      <w:pPr>
        <w:ind w:left="1410" w:hanging="1410"/>
        <w:rPr>
          <w:i/>
          <w:sz w:val="22"/>
        </w:rPr>
      </w:pPr>
      <w:r>
        <w:rPr>
          <w:sz w:val="22"/>
        </w:rPr>
        <w:t>11.10 – 11.30</w:t>
      </w:r>
      <w:r w:rsidRPr="00DD5D72">
        <w:rPr>
          <w:sz w:val="22"/>
        </w:rPr>
        <w:t xml:space="preserve"> </w:t>
      </w:r>
      <w:r>
        <w:rPr>
          <w:sz w:val="22"/>
        </w:rPr>
        <w:tab/>
      </w:r>
      <w:r w:rsidRPr="00DD5D72">
        <w:rPr>
          <w:sz w:val="22"/>
        </w:rPr>
        <w:t xml:space="preserve">Gamification, serious games e realtà virtuale come strumenti di prevenzione per </w:t>
      </w:r>
      <w:r>
        <w:rPr>
          <w:sz w:val="22"/>
        </w:rPr>
        <w:t xml:space="preserve">corretti stili di vita. </w:t>
      </w:r>
      <w:r w:rsidRPr="00DD5D72">
        <w:rPr>
          <w:i/>
          <w:sz w:val="22"/>
        </w:rPr>
        <w:t>Giuseppe Riva</w:t>
      </w:r>
      <w:r>
        <w:rPr>
          <w:i/>
          <w:sz w:val="22"/>
        </w:rPr>
        <w:t xml:space="preserve"> </w:t>
      </w:r>
    </w:p>
    <w:p w14:paraId="1F2B2265" w14:textId="77777777" w:rsidR="00D20266" w:rsidRDefault="00D20266" w:rsidP="00273C6E">
      <w:pPr>
        <w:ind w:left="1410" w:hanging="1410"/>
        <w:rPr>
          <w:i/>
          <w:sz w:val="22"/>
        </w:rPr>
      </w:pPr>
    </w:p>
    <w:p w14:paraId="54D33E1A" w14:textId="77777777" w:rsidR="00273C6E" w:rsidRPr="00DD5D72" w:rsidRDefault="00273C6E" w:rsidP="00273C6E">
      <w:pPr>
        <w:ind w:left="1410" w:hanging="1410"/>
        <w:rPr>
          <w:sz w:val="22"/>
        </w:rPr>
      </w:pPr>
      <w:r>
        <w:rPr>
          <w:sz w:val="22"/>
        </w:rPr>
        <w:t>11.30 – 11.50</w:t>
      </w:r>
      <w:r>
        <w:rPr>
          <w:sz w:val="22"/>
        </w:rPr>
        <w:tab/>
      </w:r>
      <w:r w:rsidRPr="00DD5D72">
        <w:rPr>
          <w:sz w:val="22"/>
        </w:rPr>
        <w:t xml:space="preserve"> Applicazione di terapie fisiche non invasive e plasticità cerebrale: tDCS e rTMS nei disturb</w:t>
      </w:r>
      <w:r>
        <w:rPr>
          <w:sz w:val="22"/>
        </w:rPr>
        <w:t xml:space="preserve">i da uso di sostanze e gambling. </w:t>
      </w:r>
      <w:r w:rsidRPr="0066130C">
        <w:rPr>
          <w:i/>
          <w:sz w:val="22"/>
        </w:rPr>
        <w:t>Marco Diana</w:t>
      </w:r>
      <w:r>
        <w:rPr>
          <w:sz w:val="22"/>
        </w:rPr>
        <w:t>.</w:t>
      </w:r>
    </w:p>
    <w:p w14:paraId="47025B3D" w14:textId="77777777" w:rsidR="00273C6E" w:rsidRDefault="00273C6E" w:rsidP="00273C6E">
      <w:pPr>
        <w:rPr>
          <w:sz w:val="22"/>
        </w:rPr>
      </w:pPr>
    </w:p>
    <w:p w14:paraId="40730D4D" w14:textId="77777777" w:rsidR="00273C6E" w:rsidRPr="00DD5D72" w:rsidRDefault="00273C6E" w:rsidP="00273C6E">
      <w:pPr>
        <w:ind w:left="1410" w:hanging="1410"/>
        <w:rPr>
          <w:sz w:val="22"/>
        </w:rPr>
      </w:pPr>
      <w:r>
        <w:rPr>
          <w:sz w:val="22"/>
        </w:rPr>
        <w:t xml:space="preserve">11.50 – </w:t>
      </w:r>
      <w:r w:rsidRPr="00DD5D72">
        <w:rPr>
          <w:sz w:val="22"/>
        </w:rPr>
        <w:t>1</w:t>
      </w:r>
      <w:r>
        <w:rPr>
          <w:sz w:val="22"/>
        </w:rPr>
        <w:t>2.10</w:t>
      </w:r>
      <w:r w:rsidRPr="00DD5D72">
        <w:rPr>
          <w:sz w:val="22"/>
        </w:rPr>
        <w:t xml:space="preserve"> </w:t>
      </w:r>
      <w:r>
        <w:rPr>
          <w:sz w:val="22"/>
        </w:rPr>
        <w:tab/>
      </w:r>
      <w:r w:rsidRPr="00DD5D72">
        <w:rPr>
          <w:sz w:val="22"/>
        </w:rPr>
        <w:t>Cognitive computing e intelligenza artificia</w:t>
      </w:r>
      <w:r>
        <w:rPr>
          <w:sz w:val="22"/>
        </w:rPr>
        <w:t xml:space="preserve">le: quali prospettive in sanità. </w:t>
      </w:r>
      <w:r w:rsidRPr="00DD5D72">
        <w:rPr>
          <w:i/>
          <w:sz w:val="22"/>
        </w:rPr>
        <w:t>Gianmaria Battaglia</w:t>
      </w:r>
    </w:p>
    <w:p w14:paraId="18D20A28" w14:textId="77777777" w:rsidR="00273C6E" w:rsidRPr="00DD5D72" w:rsidRDefault="00273C6E" w:rsidP="00273C6E">
      <w:pPr>
        <w:rPr>
          <w:sz w:val="22"/>
        </w:rPr>
      </w:pPr>
    </w:p>
    <w:p w14:paraId="4CDC6970" w14:textId="77777777" w:rsidR="00273C6E" w:rsidRPr="00DD5D72" w:rsidRDefault="00273C6E" w:rsidP="00273C6E">
      <w:pPr>
        <w:ind w:left="1410" w:hanging="1410"/>
        <w:rPr>
          <w:sz w:val="22"/>
        </w:rPr>
      </w:pPr>
      <w:r w:rsidRPr="00DD5D72">
        <w:rPr>
          <w:sz w:val="22"/>
        </w:rPr>
        <w:t>1</w:t>
      </w:r>
      <w:r>
        <w:rPr>
          <w:sz w:val="22"/>
        </w:rPr>
        <w:t>2.10 – 13.10</w:t>
      </w:r>
      <w:r w:rsidRPr="00DD5D72">
        <w:rPr>
          <w:sz w:val="22"/>
        </w:rPr>
        <w:t xml:space="preserve"> </w:t>
      </w:r>
      <w:r>
        <w:rPr>
          <w:sz w:val="22"/>
        </w:rPr>
        <w:tab/>
      </w:r>
      <w:r w:rsidRPr="00DD5D72">
        <w:rPr>
          <w:sz w:val="22"/>
        </w:rPr>
        <w:t>Question time ai relatori: L’iperconvergenza delle risorse digitali nel welfare degli addiction disorders</w:t>
      </w:r>
      <w:r>
        <w:rPr>
          <w:sz w:val="22"/>
        </w:rPr>
        <w:t>.</w:t>
      </w:r>
    </w:p>
    <w:p w14:paraId="3EC5BD69" w14:textId="3005456B" w:rsidR="00273C6E" w:rsidRPr="00DD5D72" w:rsidRDefault="00273C6E" w:rsidP="00273C6E">
      <w:pPr>
        <w:ind w:left="702" w:firstLine="708"/>
        <w:rPr>
          <w:sz w:val="22"/>
        </w:rPr>
      </w:pPr>
      <w:r w:rsidRPr="00DD5D72">
        <w:rPr>
          <w:sz w:val="22"/>
        </w:rPr>
        <w:t>D</w:t>
      </w:r>
      <w:r w:rsidR="00196964">
        <w:rPr>
          <w:sz w:val="22"/>
        </w:rPr>
        <w:t>iscussant: Paolo Colli Franzone</w:t>
      </w:r>
    </w:p>
    <w:p w14:paraId="4300492D" w14:textId="77777777" w:rsidR="00273C6E" w:rsidRDefault="00273C6E" w:rsidP="00273C6E">
      <w:pPr>
        <w:rPr>
          <w:sz w:val="22"/>
        </w:rPr>
      </w:pPr>
    </w:p>
    <w:p w14:paraId="7D0409A1" w14:textId="77777777" w:rsidR="00273C6E" w:rsidRDefault="00273C6E" w:rsidP="00273C6E">
      <w:pPr>
        <w:rPr>
          <w:sz w:val="22"/>
        </w:rPr>
      </w:pPr>
      <w:r>
        <w:rPr>
          <w:sz w:val="22"/>
        </w:rPr>
        <w:t>13.10 – 14.00</w:t>
      </w:r>
      <w:r w:rsidRPr="00DD5D72">
        <w:rPr>
          <w:sz w:val="22"/>
        </w:rPr>
        <w:t xml:space="preserve"> </w:t>
      </w:r>
      <w:r>
        <w:rPr>
          <w:sz w:val="22"/>
        </w:rPr>
        <w:tab/>
      </w:r>
      <w:r w:rsidRPr="00DD5D72">
        <w:rPr>
          <w:sz w:val="22"/>
        </w:rPr>
        <w:t>Compilazione questionario gradimento e apprendimento</w:t>
      </w:r>
    </w:p>
    <w:p w14:paraId="1EF24DDE" w14:textId="77777777" w:rsidR="00273C6E" w:rsidRPr="00B36946" w:rsidRDefault="00273C6E" w:rsidP="00273C6E">
      <w:pPr>
        <w:jc w:val="center"/>
        <w:rPr>
          <w:sz w:val="22"/>
        </w:rPr>
      </w:pPr>
      <w:r>
        <w:rPr>
          <w:sz w:val="22"/>
        </w:rPr>
        <w:tab/>
      </w:r>
      <w:r>
        <w:rPr>
          <w:sz w:val="22"/>
        </w:rPr>
        <w:tab/>
      </w:r>
    </w:p>
    <w:p w14:paraId="50A1F22C" w14:textId="77777777" w:rsidR="00900269" w:rsidRDefault="00900269" w:rsidP="00900269">
      <w:pPr>
        <w:rPr>
          <w:b/>
          <w:sz w:val="22"/>
        </w:rPr>
      </w:pPr>
    </w:p>
    <w:p w14:paraId="6FD4687C" w14:textId="77777777" w:rsidR="00273C6E" w:rsidRPr="009A6BEC" w:rsidRDefault="00273C6E" w:rsidP="00273C6E">
      <w:pPr>
        <w:rPr>
          <w:b/>
          <w:sz w:val="22"/>
        </w:rPr>
      </w:pPr>
      <w:r w:rsidRPr="009A6BEC">
        <w:rPr>
          <w:b/>
          <w:sz w:val="22"/>
        </w:rPr>
        <w:t>Razionale</w:t>
      </w:r>
    </w:p>
    <w:p w14:paraId="42B94978" w14:textId="5B9EF41E" w:rsidR="00273C6E" w:rsidRPr="00B36946" w:rsidRDefault="00273C6E" w:rsidP="00273C6E">
      <w:pPr>
        <w:jc w:val="both"/>
        <w:rPr>
          <w:sz w:val="22"/>
        </w:rPr>
      </w:pPr>
      <w:bookmarkStart w:id="3" w:name="_Hlk485906804"/>
      <w:r w:rsidRPr="00B36946">
        <w:rPr>
          <w:sz w:val="22"/>
        </w:rPr>
        <w:t>L’avvento e applicazione delle tecnologie digitali è un fenomeno ormai diffuso praticamente in tutti gli ambiti</w:t>
      </w:r>
      <w:r w:rsidR="00DD1C7A">
        <w:rPr>
          <w:sz w:val="22"/>
        </w:rPr>
        <w:t xml:space="preserve"> della vita personale e sociale. Tale</w:t>
      </w:r>
      <w:r w:rsidRPr="00B36946">
        <w:rPr>
          <w:sz w:val="22"/>
        </w:rPr>
        <w:t xml:space="preserve"> estesa condizione è ulteriormente evoluta con la quarta </w:t>
      </w:r>
      <w:r w:rsidRPr="00B36946">
        <w:rPr>
          <w:sz w:val="22"/>
        </w:rPr>
        <w:lastRenderedPageBreak/>
        <w:t>rivoluzione</w:t>
      </w:r>
      <w:r w:rsidR="00CB2AC8">
        <w:rPr>
          <w:sz w:val="22"/>
        </w:rPr>
        <w:t xml:space="preserve"> digitale</w:t>
      </w:r>
      <w:r w:rsidRPr="00B36946">
        <w:rPr>
          <w:sz w:val="22"/>
        </w:rPr>
        <w:t xml:space="preserve"> </w:t>
      </w:r>
      <w:r w:rsidR="00DD1C7A">
        <w:rPr>
          <w:sz w:val="22"/>
        </w:rPr>
        <w:t>per cui è</w:t>
      </w:r>
      <w:r w:rsidRPr="00B36946">
        <w:rPr>
          <w:sz w:val="22"/>
        </w:rPr>
        <w:t xml:space="preserve"> possibile archiviare e interconnettere tutte le informazioni nel web. Questa condizione espone a potenziali rischi una parte degli utenti della rete</w:t>
      </w:r>
      <w:r w:rsidR="00DD1C7A">
        <w:rPr>
          <w:sz w:val="22"/>
        </w:rPr>
        <w:t xml:space="preserve"> i quali. Infatti,</w:t>
      </w:r>
      <w:r w:rsidRPr="00B36946">
        <w:rPr>
          <w:sz w:val="22"/>
        </w:rPr>
        <w:t xml:space="preserve"> attrav</w:t>
      </w:r>
      <w:r w:rsidR="00DD1C7A">
        <w:rPr>
          <w:sz w:val="22"/>
        </w:rPr>
        <w:t xml:space="preserve">erso le tecnologie disponibili si può facilmente accedere a </w:t>
      </w:r>
      <w:r w:rsidRPr="00B36946">
        <w:rPr>
          <w:sz w:val="22"/>
        </w:rPr>
        <w:t xml:space="preserve">risorse che </w:t>
      </w:r>
      <w:r w:rsidR="00DD1C7A">
        <w:rPr>
          <w:sz w:val="22"/>
        </w:rPr>
        <w:t>potrebbero generare</w:t>
      </w:r>
      <w:r w:rsidRPr="00B36946">
        <w:rPr>
          <w:sz w:val="22"/>
        </w:rPr>
        <w:t xml:space="preserve"> effetti di deriva e sviluppo verso comport</w:t>
      </w:r>
      <w:r w:rsidR="00DD1C7A">
        <w:rPr>
          <w:sz w:val="22"/>
        </w:rPr>
        <w:t>amenti e stili di vita insicuri: d</w:t>
      </w:r>
      <w:r w:rsidRPr="00B36946">
        <w:rPr>
          <w:sz w:val="22"/>
        </w:rPr>
        <w:t>ipendenza da internet, gioco on line con connotati patologici, partecipazione a comunità virtuali dedite a promozione, consumo e commercio di sostanze psicotrope e stupefacenti.</w:t>
      </w:r>
    </w:p>
    <w:p w14:paraId="59445423" w14:textId="77777777" w:rsidR="00273C6E" w:rsidRPr="00B36946" w:rsidRDefault="00273C6E" w:rsidP="00273C6E">
      <w:pPr>
        <w:jc w:val="both"/>
        <w:rPr>
          <w:sz w:val="22"/>
        </w:rPr>
      </w:pPr>
      <w:r w:rsidRPr="00B36946">
        <w:rPr>
          <w:sz w:val="22"/>
        </w:rPr>
        <w:t>Questo funziona su larga scala e in modo automatico</w:t>
      </w:r>
      <w:r w:rsidR="00DD1C7A">
        <w:rPr>
          <w:sz w:val="22"/>
        </w:rPr>
        <w:t>,</w:t>
      </w:r>
      <w:r w:rsidRPr="00B36946">
        <w:rPr>
          <w:sz w:val="22"/>
        </w:rPr>
        <w:t xml:space="preserve"> specialmente sui social che rappresentano la forma di maggior contatto relazionale per</w:t>
      </w:r>
      <w:r w:rsidR="00DD1C7A">
        <w:rPr>
          <w:sz w:val="22"/>
        </w:rPr>
        <w:t xml:space="preserve"> gli adulti e per le</w:t>
      </w:r>
      <w:r w:rsidRPr="00B36946">
        <w:rPr>
          <w:sz w:val="22"/>
        </w:rPr>
        <w:t xml:space="preserve"> generazioni più giovani. Gli adolescenti, che dal punto di vista neurobiologico hanno una condizione di maturità ancora incompleta di certe zone cerebrali deputate alla presa di decisioni consapevoli (aree prefrontali), risultano essere quelli più esposti al rischio di sviluppare e agire condotte comportamentali atipiche.</w:t>
      </w:r>
    </w:p>
    <w:p w14:paraId="2D5CB0DC" w14:textId="77777777" w:rsidR="00273C6E" w:rsidRPr="00B36946" w:rsidRDefault="00273C6E" w:rsidP="00273C6E">
      <w:pPr>
        <w:jc w:val="both"/>
        <w:rPr>
          <w:sz w:val="22"/>
        </w:rPr>
      </w:pPr>
      <w:r w:rsidRPr="00B36946">
        <w:rPr>
          <w:sz w:val="22"/>
        </w:rPr>
        <w:t>Un chiaro esempio di tale condizione è il gioco d’azzardo, che per vari motivi rappresenta una forma paradigmatica e didascalica di disturbo da dipendenza: infatti, pur in assenza di effetti farmacologici diretti da sostanze quali droghe, alcol e tabacco, le manifestazioni morfologiche e funzionali cerebrali sono sovrapponibili a quelle indotte da sostanze.</w:t>
      </w:r>
    </w:p>
    <w:p w14:paraId="57F9C236" w14:textId="77777777" w:rsidR="00F1074F" w:rsidRDefault="00273C6E" w:rsidP="00273C6E">
      <w:pPr>
        <w:jc w:val="both"/>
        <w:rPr>
          <w:sz w:val="22"/>
        </w:rPr>
      </w:pPr>
      <w:r w:rsidRPr="00B36946">
        <w:rPr>
          <w:sz w:val="22"/>
        </w:rPr>
        <w:t>Attraverso l’utilizzo strategico e convergente delle risorse tecnologiche è comunque possibile sviluppare nuovi approcci di intervento che vadano a impattare “prima” e</w:t>
      </w:r>
      <w:r w:rsidR="00F1074F">
        <w:rPr>
          <w:sz w:val="22"/>
        </w:rPr>
        <w:t xml:space="preserve"> </w:t>
      </w:r>
      <w:r w:rsidRPr="00B36946">
        <w:rPr>
          <w:sz w:val="22"/>
        </w:rPr>
        <w:t xml:space="preserve">“meglio” </w:t>
      </w:r>
      <w:r w:rsidR="00F1074F">
        <w:rPr>
          <w:sz w:val="22"/>
        </w:rPr>
        <w:t>su</w:t>
      </w:r>
      <w:r w:rsidRPr="00B36946">
        <w:rPr>
          <w:sz w:val="22"/>
        </w:rPr>
        <w:t>gli strati di popolazione esposte a tali rischi</w:t>
      </w:r>
      <w:r w:rsidR="00F1074F">
        <w:rPr>
          <w:sz w:val="22"/>
        </w:rPr>
        <w:t>,</w:t>
      </w:r>
      <w:r w:rsidRPr="00B36946">
        <w:rPr>
          <w:sz w:val="22"/>
        </w:rPr>
        <w:t xml:space="preserve"> proponendo forme di prevenzione e cura a loro volta basate su strumenti digitali e tecnologicamente disponibili su larga scala. </w:t>
      </w:r>
    </w:p>
    <w:bookmarkEnd w:id="3"/>
    <w:p w14:paraId="239C66BD" w14:textId="77777777" w:rsidR="00F1074F" w:rsidRDefault="00F1074F" w:rsidP="00273C6E">
      <w:pPr>
        <w:jc w:val="both"/>
        <w:rPr>
          <w:sz w:val="22"/>
        </w:rPr>
      </w:pPr>
    </w:p>
    <w:p w14:paraId="421E2153" w14:textId="77777777" w:rsidR="00F1074F" w:rsidRDefault="00F1074F" w:rsidP="00273C6E">
      <w:pPr>
        <w:jc w:val="both"/>
        <w:rPr>
          <w:sz w:val="22"/>
        </w:rPr>
      </w:pPr>
      <w:r w:rsidRPr="00F1074F">
        <w:rPr>
          <w:b/>
          <w:sz w:val="22"/>
        </w:rPr>
        <w:t>Obiettivi didattici</w:t>
      </w:r>
      <w:r w:rsidRPr="00F1074F">
        <w:rPr>
          <w:sz w:val="22"/>
        </w:rPr>
        <w:t xml:space="preserve"> </w:t>
      </w:r>
    </w:p>
    <w:p w14:paraId="18F13DA1" w14:textId="77777777" w:rsidR="00F1074F" w:rsidRDefault="00F1074F" w:rsidP="00273C6E">
      <w:pPr>
        <w:jc w:val="both"/>
        <w:rPr>
          <w:sz w:val="22"/>
        </w:rPr>
      </w:pPr>
      <w:bookmarkStart w:id="4" w:name="_Hlk485906827"/>
      <w:r w:rsidRPr="00F1074F">
        <w:rPr>
          <w:sz w:val="22"/>
        </w:rPr>
        <w:t>Il corso mira a sviluppare competenze tecnico-professionali nell’utilizzo delle nuove risorse tecnologiche nello screening, trattamento e riabilitazione di soggetti con disturbo da dipendenza. Inoltre promuove l’acquisizione di competenze di processo e di sistema orientate all’integrazione fra nuove risorse tecnologiche, trattamenti digitali e trattamenti tradizionali;</w:t>
      </w:r>
    </w:p>
    <w:p w14:paraId="79D6001C" w14:textId="77777777" w:rsidR="00273C6E" w:rsidRDefault="00273C6E" w:rsidP="00273C6E">
      <w:pPr>
        <w:jc w:val="center"/>
        <w:rPr>
          <w:sz w:val="22"/>
          <w:u w:val="single"/>
        </w:rPr>
      </w:pPr>
    </w:p>
    <w:bookmarkEnd w:id="4"/>
    <w:p w14:paraId="21CF1BF9" w14:textId="77777777" w:rsidR="006C65B3" w:rsidRDefault="006C65B3" w:rsidP="006C65B3">
      <w:pPr>
        <w:rPr>
          <w:b/>
          <w:sz w:val="22"/>
        </w:rPr>
      </w:pPr>
      <w:r>
        <w:rPr>
          <w:b/>
          <w:sz w:val="22"/>
        </w:rPr>
        <w:t>Responsabil</w:t>
      </w:r>
      <w:r w:rsidR="00551934">
        <w:rPr>
          <w:b/>
          <w:sz w:val="22"/>
        </w:rPr>
        <w:t xml:space="preserve">e </w:t>
      </w:r>
      <w:r>
        <w:rPr>
          <w:b/>
          <w:sz w:val="22"/>
        </w:rPr>
        <w:t>scientific</w:t>
      </w:r>
      <w:r w:rsidR="00551934">
        <w:rPr>
          <w:b/>
          <w:sz w:val="22"/>
        </w:rPr>
        <w:t>o</w:t>
      </w:r>
    </w:p>
    <w:p w14:paraId="2170E538" w14:textId="77777777" w:rsidR="006C65B3" w:rsidRPr="00FC21BB" w:rsidRDefault="006C65B3" w:rsidP="006C65B3">
      <w:pPr>
        <w:ind w:left="1410" w:hanging="1410"/>
        <w:rPr>
          <w:sz w:val="22"/>
        </w:rPr>
      </w:pPr>
      <w:r w:rsidRPr="00900269">
        <w:rPr>
          <w:sz w:val="22"/>
        </w:rPr>
        <w:t xml:space="preserve">Roberto </w:t>
      </w:r>
      <w:r w:rsidRPr="00FC21BB">
        <w:rPr>
          <w:sz w:val="22"/>
        </w:rPr>
        <w:t xml:space="preserve">Mollica </w:t>
      </w:r>
    </w:p>
    <w:p w14:paraId="03164CF2" w14:textId="77777777" w:rsidR="00D20266" w:rsidRDefault="00D20266" w:rsidP="006C65B3">
      <w:pPr>
        <w:rPr>
          <w:b/>
          <w:sz w:val="22"/>
        </w:rPr>
      </w:pPr>
    </w:p>
    <w:p w14:paraId="09928ADA" w14:textId="77777777" w:rsidR="006C65B3" w:rsidRDefault="006C65B3" w:rsidP="006C65B3">
      <w:pPr>
        <w:rPr>
          <w:b/>
          <w:sz w:val="22"/>
        </w:rPr>
      </w:pPr>
      <w:r>
        <w:rPr>
          <w:b/>
          <w:sz w:val="22"/>
        </w:rPr>
        <w:t>Relatori e Moderatori</w:t>
      </w:r>
    </w:p>
    <w:p w14:paraId="55E583BF" w14:textId="77777777" w:rsidR="00D20266" w:rsidRDefault="006C65B3" w:rsidP="006C65B3">
      <w:pPr>
        <w:rPr>
          <w:sz w:val="22"/>
        </w:rPr>
      </w:pPr>
      <w:r>
        <w:rPr>
          <w:sz w:val="22"/>
        </w:rPr>
        <w:t xml:space="preserve">Gianmaria Battaglia, </w:t>
      </w:r>
      <w:r w:rsidR="00D20266">
        <w:rPr>
          <w:sz w:val="22"/>
        </w:rPr>
        <w:t>Università Bocconi</w:t>
      </w:r>
    </w:p>
    <w:p w14:paraId="60FC09D9" w14:textId="77777777" w:rsidR="00D20266" w:rsidRDefault="006C65B3" w:rsidP="00D20266">
      <w:pPr>
        <w:rPr>
          <w:sz w:val="22"/>
        </w:rPr>
      </w:pPr>
      <w:r>
        <w:rPr>
          <w:sz w:val="22"/>
        </w:rPr>
        <w:t xml:space="preserve">Marco Diana, </w:t>
      </w:r>
      <w:r w:rsidR="00D20266">
        <w:rPr>
          <w:sz w:val="22"/>
        </w:rPr>
        <w:t xml:space="preserve">Università di Sassari </w:t>
      </w:r>
    </w:p>
    <w:p w14:paraId="4012A1B9" w14:textId="77777777" w:rsidR="006C65B3" w:rsidRDefault="006C65B3" w:rsidP="00D20266">
      <w:pPr>
        <w:rPr>
          <w:sz w:val="22"/>
        </w:rPr>
      </w:pPr>
      <w:r>
        <w:rPr>
          <w:sz w:val="22"/>
        </w:rPr>
        <w:t xml:space="preserve">Roberto Mollica, </w:t>
      </w:r>
      <w:r w:rsidR="00D20266" w:rsidRPr="00DD5D72">
        <w:rPr>
          <w:sz w:val="22"/>
        </w:rPr>
        <w:t>ASST Santi Paolo e Carlo, SITD Sezione lombarda</w:t>
      </w:r>
    </w:p>
    <w:p w14:paraId="25D31285" w14:textId="77777777" w:rsidR="006C65B3" w:rsidRDefault="006C65B3" w:rsidP="00D20266">
      <w:pPr>
        <w:ind w:left="1410" w:hanging="1410"/>
        <w:rPr>
          <w:sz w:val="22"/>
        </w:rPr>
      </w:pPr>
      <w:r>
        <w:rPr>
          <w:sz w:val="22"/>
        </w:rPr>
        <w:t>Giuseppe Riva,</w:t>
      </w:r>
      <w:r w:rsidR="00D20266">
        <w:rPr>
          <w:sz w:val="22"/>
        </w:rPr>
        <w:t xml:space="preserve"> Università Cattolica del Sacro Cuore Milano</w:t>
      </w:r>
    </w:p>
    <w:p w14:paraId="2D7A49C4" w14:textId="77777777" w:rsidR="006C65B3" w:rsidRDefault="006C65B3" w:rsidP="00D20266">
      <w:pPr>
        <w:ind w:left="1410" w:hanging="1410"/>
        <w:rPr>
          <w:sz w:val="22"/>
        </w:rPr>
      </w:pPr>
      <w:r w:rsidRPr="00794440">
        <w:rPr>
          <w:sz w:val="22"/>
        </w:rPr>
        <w:t>Eugenio Santoro</w:t>
      </w:r>
      <w:r>
        <w:rPr>
          <w:sz w:val="22"/>
        </w:rPr>
        <w:t xml:space="preserve">, </w:t>
      </w:r>
      <w:r w:rsidR="00D20266" w:rsidRPr="00FC21BB">
        <w:rPr>
          <w:sz w:val="22"/>
        </w:rPr>
        <w:t>IRCCS Istituto Mario Negri</w:t>
      </w:r>
    </w:p>
    <w:p w14:paraId="2E904287" w14:textId="77777777" w:rsidR="00D20266" w:rsidRPr="00DD5D72" w:rsidRDefault="006C65B3" w:rsidP="00D20266">
      <w:pPr>
        <w:ind w:left="1410" w:hanging="1410"/>
        <w:rPr>
          <w:sz w:val="22"/>
        </w:rPr>
      </w:pPr>
      <w:r w:rsidRPr="00794440">
        <w:rPr>
          <w:sz w:val="22"/>
        </w:rPr>
        <w:t>Gabriele Zanardi</w:t>
      </w:r>
      <w:r>
        <w:rPr>
          <w:sz w:val="22"/>
        </w:rPr>
        <w:t xml:space="preserve">, </w:t>
      </w:r>
      <w:r w:rsidR="00D20266">
        <w:rPr>
          <w:sz w:val="22"/>
        </w:rPr>
        <w:t>Università di Pavia, SITD Sezione lombarda.</w:t>
      </w:r>
    </w:p>
    <w:p w14:paraId="6F54FFAB" w14:textId="77777777" w:rsidR="006C65B3" w:rsidRDefault="006C65B3" w:rsidP="006C65B3">
      <w:pPr>
        <w:rPr>
          <w:sz w:val="22"/>
        </w:rPr>
      </w:pPr>
      <w:r>
        <w:rPr>
          <w:sz w:val="22"/>
        </w:rPr>
        <w:t>Giorgia Zunin</w:t>
      </w:r>
      <w:r w:rsidR="00D853E1">
        <w:rPr>
          <w:sz w:val="22"/>
        </w:rPr>
        <w:t>o</w:t>
      </w:r>
      <w:r>
        <w:rPr>
          <w:sz w:val="22"/>
        </w:rPr>
        <w:t>, Genova</w:t>
      </w:r>
    </w:p>
    <w:p w14:paraId="2AE14007" w14:textId="77777777" w:rsidR="006C65B3" w:rsidRDefault="006C65B3" w:rsidP="006C65B3">
      <w:pPr>
        <w:rPr>
          <w:sz w:val="22"/>
        </w:rPr>
      </w:pPr>
      <w:r w:rsidRPr="00DD5D72">
        <w:rPr>
          <w:sz w:val="22"/>
        </w:rPr>
        <w:t>Paolo Colli Franzone</w:t>
      </w:r>
      <w:r>
        <w:rPr>
          <w:sz w:val="22"/>
        </w:rPr>
        <w:t>, Torino</w:t>
      </w:r>
    </w:p>
    <w:p w14:paraId="1E621E98" w14:textId="77777777" w:rsidR="006C65B3" w:rsidRDefault="006C65B3" w:rsidP="006C65B3">
      <w:pPr>
        <w:rPr>
          <w:sz w:val="22"/>
          <w:u w:val="single"/>
        </w:rPr>
      </w:pPr>
    </w:p>
    <w:p w14:paraId="353C5CB9" w14:textId="77777777" w:rsidR="006C65B3" w:rsidRDefault="006C65B3" w:rsidP="00273C6E">
      <w:pPr>
        <w:rPr>
          <w:b/>
          <w:sz w:val="22"/>
        </w:rPr>
      </w:pPr>
      <w:r>
        <w:rPr>
          <w:b/>
          <w:sz w:val="22"/>
        </w:rPr>
        <w:t>Educazione Continua in Medicina</w:t>
      </w:r>
    </w:p>
    <w:p w14:paraId="67BE0530" w14:textId="77777777" w:rsidR="006C65B3" w:rsidRPr="00DF21EF" w:rsidRDefault="006C65B3" w:rsidP="006C65B3">
      <w:pPr>
        <w:jc w:val="both"/>
        <w:rPr>
          <w:sz w:val="22"/>
        </w:rPr>
      </w:pPr>
      <w:r w:rsidRPr="00DF21EF">
        <w:rPr>
          <w:sz w:val="22"/>
        </w:rPr>
        <w:t xml:space="preserve">Il Convegno è stato accreditato per n. 100 partecipanti per le seguenti </w:t>
      </w:r>
      <w:bookmarkStart w:id="5" w:name="_Hlk485906862"/>
      <w:r w:rsidRPr="00DF21EF">
        <w:rPr>
          <w:sz w:val="22"/>
        </w:rPr>
        <w:t>figure professionali: Infermiere</w:t>
      </w:r>
      <w:r>
        <w:rPr>
          <w:sz w:val="22"/>
        </w:rPr>
        <w:t>;</w:t>
      </w:r>
    </w:p>
    <w:p w14:paraId="7FD9F66C" w14:textId="77777777" w:rsidR="00F1074F" w:rsidRDefault="006C65B3" w:rsidP="00F1074F">
      <w:pPr>
        <w:rPr>
          <w:sz w:val="22"/>
        </w:rPr>
      </w:pPr>
      <w:r w:rsidRPr="00DF21EF">
        <w:rPr>
          <w:sz w:val="22"/>
        </w:rPr>
        <w:t>Educatore professionale</w:t>
      </w:r>
      <w:r>
        <w:rPr>
          <w:sz w:val="22"/>
        </w:rPr>
        <w:t xml:space="preserve">; </w:t>
      </w:r>
      <w:r w:rsidRPr="00DF21EF">
        <w:rPr>
          <w:sz w:val="22"/>
        </w:rPr>
        <w:t>Medico Chirurgo (</w:t>
      </w:r>
      <w:r w:rsidRPr="00DF21EF">
        <w:rPr>
          <w:i/>
          <w:sz w:val="22"/>
        </w:rPr>
        <w:t>discipline: Anestesia e Rianimazione</w:t>
      </w:r>
      <w:r>
        <w:rPr>
          <w:i/>
          <w:sz w:val="22"/>
        </w:rPr>
        <w:t>, Angiologia,</w:t>
      </w:r>
      <w:r w:rsidR="00FC21BB">
        <w:rPr>
          <w:i/>
          <w:sz w:val="22"/>
        </w:rPr>
        <w:t xml:space="preserve"> </w:t>
      </w:r>
      <w:r>
        <w:rPr>
          <w:i/>
          <w:sz w:val="22"/>
        </w:rPr>
        <w:t>Cardiologia,</w:t>
      </w:r>
      <w:r w:rsidRPr="00DF21EF">
        <w:rPr>
          <w:i/>
          <w:sz w:val="22"/>
        </w:rPr>
        <w:t xml:space="preserve"> Endocrinologia</w:t>
      </w:r>
      <w:r>
        <w:rPr>
          <w:i/>
          <w:sz w:val="22"/>
        </w:rPr>
        <w:t>,</w:t>
      </w:r>
      <w:r w:rsidRPr="00DF21EF">
        <w:rPr>
          <w:i/>
          <w:sz w:val="22"/>
        </w:rPr>
        <w:t xml:space="preserve"> Farmacologia e Tossicologia Clinica; Medicina dello Sport; Medicina Generale (Medici di Famiglia); Medicina Interna</w:t>
      </w:r>
      <w:r>
        <w:rPr>
          <w:i/>
          <w:sz w:val="22"/>
        </w:rPr>
        <w:t>,</w:t>
      </w:r>
      <w:r w:rsidRPr="00DF21EF">
        <w:rPr>
          <w:i/>
          <w:sz w:val="22"/>
        </w:rPr>
        <w:t xml:space="preserve"> Medicina Legale</w:t>
      </w:r>
      <w:r>
        <w:rPr>
          <w:i/>
          <w:sz w:val="22"/>
        </w:rPr>
        <w:t>,</w:t>
      </w:r>
      <w:r w:rsidRPr="00DF21EF">
        <w:rPr>
          <w:i/>
          <w:sz w:val="22"/>
        </w:rPr>
        <w:t xml:space="preserve"> Nefrologia</w:t>
      </w:r>
      <w:r>
        <w:rPr>
          <w:i/>
          <w:sz w:val="22"/>
        </w:rPr>
        <w:t>,</w:t>
      </w:r>
      <w:r w:rsidRPr="00DF21EF">
        <w:rPr>
          <w:i/>
          <w:sz w:val="22"/>
        </w:rPr>
        <w:t xml:space="preserve"> Psichiatria</w:t>
      </w:r>
      <w:r>
        <w:rPr>
          <w:i/>
          <w:sz w:val="22"/>
        </w:rPr>
        <w:t>,</w:t>
      </w:r>
      <w:r w:rsidRPr="00DF21EF">
        <w:rPr>
          <w:i/>
          <w:sz w:val="22"/>
        </w:rPr>
        <w:t xml:space="preserve"> </w:t>
      </w:r>
      <w:r>
        <w:rPr>
          <w:i/>
          <w:sz w:val="22"/>
        </w:rPr>
        <w:t>P</w:t>
      </w:r>
      <w:r w:rsidRPr="00DF21EF">
        <w:rPr>
          <w:i/>
          <w:sz w:val="22"/>
        </w:rPr>
        <w:t>sicoterapia</w:t>
      </w:r>
      <w:r w:rsidRPr="00DF21EF">
        <w:rPr>
          <w:sz w:val="22"/>
        </w:rPr>
        <w:t>)</w:t>
      </w:r>
      <w:r>
        <w:rPr>
          <w:sz w:val="22"/>
        </w:rPr>
        <w:t xml:space="preserve">; </w:t>
      </w:r>
      <w:r w:rsidRPr="00DF21EF">
        <w:rPr>
          <w:sz w:val="22"/>
        </w:rPr>
        <w:t>Psicologo (</w:t>
      </w:r>
      <w:r w:rsidRPr="00DF21EF">
        <w:rPr>
          <w:i/>
          <w:sz w:val="22"/>
        </w:rPr>
        <w:t>discipline: Psicologo, Psicoterapeuta</w:t>
      </w:r>
      <w:r w:rsidRPr="00DF21EF">
        <w:rPr>
          <w:sz w:val="22"/>
        </w:rPr>
        <w:t>)</w:t>
      </w:r>
      <w:r>
        <w:rPr>
          <w:sz w:val="22"/>
        </w:rPr>
        <w:t xml:space="preserve">; </w:t>
      </w:r>
      <w:r w:rsidRPr="00DF21EF">
        <w:rPr>
          <w:sz w:val="22"/>
        </w:rPr>
        <w:t>Tecnico della riabilitazione psichiatrica</w:t>
      </w:r>
      <w:r>
        <w:rPr>
          <w:sz w:val="22"/>
        </w:rPr>
        <w:t xml:space="preserve">. </w:t>
      </w:r>
    </w:p>
    <w:bookmarkEnd w:id="5"/>
    <w:p w14:paraId="67CF9454" w14:textId="77777777" w:rsidR="00F1074F" w:rsidRDefault="00F1074F" w:rsidP="00F1074F">
      <w:pPr>
        <w:rPr>
          <w:sz w:val="22"/>
        </w:rPr>
      </w:pPr>
      <w:r w:rsidRPr="00F1074F">
        <w:rPr>
          <w:sz w:val="22"/>
        </w:rPr>
        <w:t>Obiettivo Formativo Nazionale di Processo</w:t>
      </w:r>
      <w:r>
        <w:rPr>
          <w:sz w:val="22"/>
        </w:rPr>
        <w:t xml:space="preserve">: </w:t>
      </w:r>
      <w:r w:rsidRPr="00F2145C">
        <w:rPr>
          <w:sz w:val="22"/>
        </w:rPr>
        <w:t xml:space="preserve">Documentazione clinica. </w:t>
      </w:r>
      <w:r>
        <w:rPr>
          <w:sz w:val="22"/>
        </w:rPr>
        <w:t>P</w:t>
      </w:r>
      <w:r w:rsidRPr="00F2145C">
        <w:rPr>
          <w:sz w:val="22"/>
        </w:rPr>
        <w:t>ercorsi clinico-assistenziali diagnostici e riabilitativi, profili di assistenza - profili di cura</w:t>
      </w:r>
      <w:r>
        <w:rPr>
          <w:sz w:val="22"/>
        </w:rPr>
        <w:t xml:space="preserve">. </w:t>
      </w:r>
    </w:p>
    <w:p w14:paraId="217A478A" w14:textId="77777777" w:rsidR="00F1074F" w:rsidRDefault="00F1074F" w:rsidP="00F1074F">
      <w:pPr>
        <w:rPr>
          <w:sz w:val="22"/>
        </w:rPr>
      </w:pPr>
    </w:p>
    <w:p w14:paraId="6B17379F" w14:textId="77777777" w:rsidR="006C65B3" w:rsidRDefault="00F1074F" w:rsidP="00F1074F">
      <w:pPr>
        <w:rPr>
          <w:sz w:val="22"/>
        </w:rPr>
      </w:pPr>
      <w:r>
        <w:rPr>
          <w:sz w:val="22"/>
        </w:rPr>
        <w:t>N. 4 c</w:t>
      </w:r>
      <w:r w:rsidRPr="00F1074F">
        <w:rPr>
          <w:sz w:val="22"/>
        </w:rPr>
        <w:t>rediti formativi assegnati</w:t>
      </w:r>
      <w:r>
        <w:rPr>
          <w:sz w:val="22"/>
        </w:rPr>
        <w:t xml:space="preserve">. </w:t>
      </w:r>
      <w:r w:rsidR="006C65B3" w:rsidRPr="00DF21EF">
        <w:rPr>
          <w:sz w:val="22"/>
        </w:rPr>
        <w:t>L’acquisizione dei credit</w:t>
      </w:r>
      <w:r w:rsidR="006C65B3">
        <w:rPr>
          <w:sz w:val="22"/>
        </w:rPr>
        <w:t>i ECM sarà subordinata a</w:t>
      </w:r>
      <w:r w:rsidR="006C65B3" w:rsidRPr="00DF21EF">
        <w:rPr>
          <w:sz w:val="22"/>
        </w:rPr>
        <w:t>:</w:t>
      </w:r>
    </w:p>
    <w:p w14:paraId="74BDBB54" w14:textId="77777777" w:rsidR="006C65B3" w:rsidRDefault="006C65B3" w:rsidP="006C65B3">
      <w:pPr>
        <w:jc w:val="both"/>
        <w:rPr>
          <w:sz w:val="22"/>
        </w:rPr>
      </w:pPr>
      <w:r w:rsidRPr="00DF21EF">
        <w:rPr>
          <w:sz w:val="22"/>
        </w:rPr>
        <w:t xml:space="preserve"> 1. partecipazione all’intero programma formativo (90% delle ore del corso);</w:t>
      </w:r>
    </w:p>
    <w:p w14:paraId="2DC88D5D" w14:textId="77777777" w:rsidR="006C65B3" w:rsidRDefault="006C65B3" w:rsidP="006C65B3">
      <w:pPr>
        <w:jc w:val="both"/>
        <w:rPr>
          <w:sz w:val="22"/>
        </w:rPr>
      </w:pPr>
      <w:r w:rsidRPr="00DF21EF">
        <w:rPr>
          <w:sz w:val="22"/>
        </w:rPr>
        <w:t xml:space="preserve"> 2. consegna del questionario di qualità percepita debitamente compilato e firmato;</w:t>
      </w:r>
    </w:p>
    <w:p w14:paraId="01E3E867" w14:textId="77777777" w:rsidR="006C65B3" w:rsidRDefault="006C65B3" w:rsidP="006C65B3">
      <w:pPr>
        <w:jc w:val="both"/>
        <w:rPr>
          <w:sz w:val="22"/>
        </w:rPr>
      </w:pPr>
      <w:r w:rsidRPr="00DF21EF">
        <w:rPr>
          <w:sz w:val="22"/>
        </w:rPr>
        <w:lastRenderedPageBreak/>
        <w:t xml:space="preserve"> 3. superamento del test di valutazione dell’apprendimento (almeno il 90% delle risposte esatte).</w:t>
      </w:r>
    </w:p>
    <w:p w14:paraId="1F577310" w14:textId="77777777" w:rsidR="00F1074F" w:rsidRDefault="00F1074F" w:rsidP="006C65B3">
      <w:pPr>
        <w:rPr>
          <w:sz w:val="22"/>
        </w:rPr>
      </w:pPr>
    </w:p>
    <w:p w14:paraId="78E5F6C4" w14:textId="77777777" w:rsidR="006C65B3" w:rsidRPr="00365A01" w:rsidRDefault="006C65B3" w:rsidP="006C65B3">
      <w:pPr>
        <w:rPr>
          <w:sz w:val="22"/>
        </w:rPr>
      </w:pPr>
      <w:r>
        <w:rPr>
          <w:sz w:val="22"/>
        </w:rPr>
        <w:t>La certificazione dei crediti ECM sarà spedita dal provider entro 90 giorni dal termine del corso, previa verifica della documentazione e del superamento del questionario.</w:t>
      </w:r>
    </w:p>
    <w:p w14:paraId="2938B8C3" w14:textId="77777777" w:rsidR="006C65B3" w:rsidRDefault="006C65B3" w:rsidP="006C65B3">
      <w:pPr>
        <w:jc w:val="both"/>
        <w:rPr>
          <w:sz w:val="22"/>
        </w:rPr>
      </w:pPr>
    </w:p>
    <w:p w14:paraId="76826E00" w14:textId="77777777" w:rsidR="00196964" w:rsidRPr="00196964" w:rsidRDefault="00196964" w:rsidP="00196964">
      <w:pPr>
        <w:rPr>
          <w:b/>
          <w:sz w:val="22"/>
        </w:rPr>
      </w:pPr>
      <w:r w:rsidRPr="00196964">
        <w:rPr>
          <w:b/>
          <w:sz w:val="22"/>
        </w:rPr>
        <w:t>Iscrizione</w:t>
      </w:r>
    </w:p>
    <w:p w14:paraId="16C52BF4" w14:textId="04C2E74C" w:rsidR="006C65B3" w:rsidRPr="00196964" w:rsidRDefault="00196964" w:rsidP="00196964">
      <w:pPr>
        <w:rPr>
          <w:sz w:val="22"/>
        </w:rPr>
      </w:pPr>
      <w:r w:rsidRPr="00196964">
        <w:rPr>
          <w:sz w:val="22"/>
        </w:rPr>
        <w:t>L’iscrizione al Convegno è gratuita fino ad esaurimento posti (300). Il limite massimo dei partecipanti ECM è di 100 iscritti e dà diritto all’accesso ai lavori, al dossier ECM e all’attestato di partecipazione. È obbligatorio per tutti effettuare l’iscrizione online compilando il form che sarà disponibile alla pagina Eventi del sito www.letscome3.it. La segreteria organizzativa avrà cura di confermare l’avvenuta iscrizione.</w:t>
      </w:r>
    </w:p>
    <w:p w14:paraId="023147A2" w14:textId="77777777" w:rsidR="00196964" w:rsidRDefault="00196964" w:rsidP="006C65B3">
      <w:pPr>
        <w:rPr>
          <w:b/>
          <w:sz w:val="22"/>
        </w:rPr>
      </w:pPr>
    </w:p>
    <w:p w14:paraId="2533FD91" w14:textId="44300B60" w:rsidR="006C65B3" w:rsidRDefault="006C65B3" w:rsidP="006C65B3">
      <w:pPr>
        <w:rPr>
          <w:b/>
          <w:sz w:val="22"/>
        </w:rPr>
      </w:pPr>
      <w:r>
        <w:rPr>
          <w:b/>
          <w:sz w:val="22"/>
        </w:rPr>
        <w:t>A</w:t>
      </w:r>
      <w:r w:rsidRPr="00E659F9">
        <w:rPr>
          <w:b/>
          <w:sz w:val="22"/>
        </w:rPr>
        <w:t>ttestato</w:t>
      </w:r>
      <w:r>
        <w:rPr>
          <w:b/>
          <w:sz w:val="22"/>
        </w:rPr>
        <w:t xml:space="preserve"> di frequenza </w:t>
      </w:r>
    </w:p>
    <w:p w14:paraId="569379EB" w14:textId="77777777" w:rsidR="006C65B3" w:rsidRPr="00365A01" w:rsidRDefault="006C65B3" w:rsidP="006C65B3">
      <w:pPr>
        <w:rPr>
          <w:sz w:val="22"/>
        </w:rPr>
      </w:pPr>
      <w:r w:rsidRPr="00E659F9">
        <w:rPr>
          <w:sz w:val="22"/>
        </w:rPr>
        <w:t xml:space="preserve">Al termine del Corso, sarà rilasciato un attestato di </w:t>
      </w:r>
      <w:r>
        <w:rPr>
          <w:sz w:val="22"/>
        </w:rPr>
        <w:t>frequenza</w:t>
      </w:r>
      <w:r w:rsidRPr="00E659F9">
        <w:rPr>
          <w:sz w:val="22"/>
        </w:rPr>
        <w:t xml:space="preserve"> a tutti i partecipanti regolarmente iscritti.</w:t>
      </w:r>
      <w:r>
        <w:rPr>
          <w:sz w:val="22"/>
        </w:rPr>
        <w:t xml:space="preserve"> </w:t>
      </w:r>
    </w:p>
    <w:p w14:paraId="72B908D4" w14:textId="77777777" w:rsidR="006C65B3" w:rsidRDefault="006C65B3" w:rsidP="0066130C">
      <w:pPr>
        <w:jc w:val="both"/>
        <w:rPr>
          <w:sz w:val="22"/>
        </w:rPr>
      </w:pPr>
    </w:p>
    <w:p w14:paraId="3F94B2C3" w14:textId="77777777" w:rsidR="00900269" w:rsidRDefault="0066130C" w:rsidP="00900269">
      <w:pPr>
        <w:tabs>
          <w:tab w:val="left" w:pos="2670"/>
        </w:tabs>
        <w:rPr>
          <w:sz w:val="22"/>
        </w:rPr>
      </w:pPr>
      <w:r>
        <w:rPr>
          <w:b/>
          <w:sz w:val="22"/>
        </w:rPr>
        <w:t xml:space="preserve">Segreteria Organizzativa e </w:t>
      </w:r>
      <w:r w:rsidR="00900269" w:rsidRPr="00900269">
        <w:rPr>
          <w:b/>
          <w:sz w:val="22"/>
        </w:rPr>
        <w:t>Provider ECM</w:t>
      </w:r>
      <w:r w:rsidR="00900269">
        <w:rPr>
          <w:sz w:val="22"/>
        </w:rPr>
        <w:t xml:space="preserve"> </w:t>
      </w:r>
    </w:p>
    <w:p w14:paraId="469AC585" w14:textId="77777777" w:rsidR="00900269" w:rsidRDefault="00900269" w:rsidP="00900269">
      <w:pPr>
        <w:tabs>
          <w:tab w:val="left" w:pos="2670"/>
        </w:tabs>
        <w:rPr>
          <w:sz w:val="22"/>
        </w:rPr>
      </w:pPr>
      <w:r>
        <w:rPr>
          <w:sz w:val="22"/>
        </w:rPr>
        <w:t>ID 5452 - Letscom E3 S.r.l.</w:t>
      </w:r>
    </w:p>
    <w:p w14:paraId="3A98619F" w14:textId="77777777" w:rsidR="006C65B3" w:rsidRDefault="006C65B3" w:rsidP="006C65B3">
      <w:pPr>
        <w:jc w:val="both"/>
        <w:rPr>
          <w:sz w:val="22"/>
        </w:rPr>
      </w:pPr>
      <w:r>
        <w:rPr>
          <w:sz w:val="22"/>
        </w:rPr>
        <w:t>Via della Bufalotta, 374</w:t>
      </w:r>
    </w:p>
    <w:p w14:paraId="02E5F698" w14:textId="77777777" w:rsidR="006C65B3" w:rsidRDefault="006C65B3" w:rsidP="006C65B3">
      <w:pPr>
        <w:jc w:val="both"/>
        <w:rPr>
          <w:sz w:val="22"/>
        </w:rPr>
      </w:pPr>
      <w:r>
        <w:rPr>
          <w:sz w:val="22"/>
        </w:rPr>
        <w:t>00139 Roma</w:t>
      </w:r>
    </w:p>
    <w:p w14:paraId="4B31D2ED" w14:textId="77777777" w:rsidR="006C65B3" w:rsidRDefault="006C65B3" w:rsidP="006C65B3">
      <w:pPr>
        <w:jc w:val="both"/>
        <w:rPr>
          <w:sz w:val="22"/>
        </w:rPr>
      </w:pPr>
      <w:r>
        <w:rPr>
          <w:sz w:val="22"/>
        </w:rPr>
        <w:t>Tel. +39 06 91502790</w:t>
      </w:r>
    </w:p>
    <w:p w14:paraId="5175A04C" w14:textId="77777777" w:rsidR="006C65B3" w:rsidRPr="0066521F" w:rsidRDefault="006C65B3" w:rsidP="006C65B3">
      <w:pPr>
        <w:jc w:val="both"/>
        <w:rPr>
          <w:sz w:val="22"/>
          <w:lang w:val="en-US"/>
        </w:rPr>
      </w:pPr>
      <w:r w:rsidRPr="0066521F">
        <w:rPr>
          <w:sz w:val="22"/>
          <w:lang w:val="en-US"/>
        </w:rPr>
        <w:t>Fax +39 06 62209027</w:t>
      </w:r>
    </w:p>
    <w:p w14:paraId="2893580E" w14:textId="77777777" w:rsidR="006C65B3" w:rsidRPr="0066521F" w:rsidRDefault="00D121DB" w:rsidP="006C65B3">
      <w:pPr>
        <w:jc w:val="both"/>
        <w:rPr>
          <w:sz w:val="22"/>
          <w:lang w:val="en-US"/>
        </w:rPr>
      </w:pPr>
      <w:hyperlink r:id="rId7" w:history="1">
        <w:r w:rsidR="006C65B3" w:rsidRPr="0066521F">
          <w:rPr>
            <w:rStyle w:val="Collegamentoipertestuale"/>
            <w:sz w:val="22"/>
            <w:lang w:val="en-US"/>
          </w:rPr>
          <w:t>segreteria@letscome3.it</w:t>
        </w:r>
      </w:hyperlink>
    </w:p>
    <w:p w14:paraId="37A5DFC3" w14:textId="77777777" w:rsidR="006C65B3" w:rsidRPr="0066521F" w:rsidRDefault="00D121DB" w:rsidP="006C65B3">
      <w:pPr>
        <w:jc w:val="both"/>
        <w:rPr>
          <w:sz w:val="22"/>
          <w:lang w:val="en-US"/>
        </w:rPr>
      </w:pPr>
      <w:hyperlink r:id="rId8" w:history="1">
        <w:r w:rsidR="006C65B3" w:rsidRPr="0066521F">
          <w:rPr>
            <w:rStyle w:val="Collegamentoipertestuale"/>
            <w:sz w:val="22"/>
            <w:lang w:val="en-US"/>
          </w:rPr>
          <w:t>www.letscome3.it</w:t>
        </w:r>
      </w:hyperlink>
      <w:r w:rsidR="006C65B3" w:rsidRPr="0066521F">
        <w:rPr>
          <w:sz w:val="22"/>
          <w:lang w:val="en-US"/>
        </w:rPr>
        <w:t xml:space="preserve"> </w:t>
      </w:r>
    </w:p>
    <w:p w14:paraId="71860B09" w14:textId="77777777" w:rsidR="006C65B3" w:rsidRPr="0066521F" w:rsidRDefault="006C65B3" w:rsidP="00900269">
      <w:pPr>
        <w:tabs>
          <w:tab w:val="left" w:pos="2670"/>
        </w:tabs>
        <w:rPr>
          <w:sz w:val="22"/>
          <w:lang w:val="en-US"/>
        </w:rPr>
      </w:pPr>
    </w:p>
    <w:sectPr w:rsidR="006C65B3" w:rsidRPr="0066521F" w:rsidSect="00203127">
      <w:pgSz w:w="11906" w:h="16838"/>
      <w:pgMar w:top="1134" w:right="1418" w:bottom="170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C8928" w14:textId="77777777" w:rsidR="006B0291" w:rsidRDefault="006B0291" w:rsidP="00273C6E">
      <w:r>
        <w:separator/>
      </w:r>
    </w:p>
  </w:endnote>
  <w:endnote w:type="continuationSeparator" w:id="0">
    <w:p w14:paraId="58BFEBAC" w14:textId="77777777" w:rsidR="006B0291" w:rsidRDefault="006B0291" w:rsidP="0027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BFBD8" w14:textId="77777777" w:rsidR="006B0291" w:rsidRDefault="006B0291" w:rsidP="00273C6E">
      <w:r>
        <w:separator/>
      </w:r>
    </w:p>
  </w:footnote>
  <w:footnote w:type="continuationSeparator" w:id="0">
    <w:p w14:paraId="63FB72B9" w14:textId="77777777" w:rsidR="006B0291" w:rsidRDefault="006B0291" w:rsidP="00273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1768B"/>
    <w:multiLevelType w:val="hybridMultilevel"/>
    <w:tmpl w:val="5CAC95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56802C0"/>
    <w:multiLevelType w:val="hybridMultilevel"/>
    <w:tmpl w:val="5DEA6F80"/>
    <w:lvl w:ilvl="0" w:tplc="DC8EEB3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A0"/>
    <w:rsid w:val="00034062"/>
    <w:rsid w:val="00042117"/>
    <w:rsid w:val="00095994"/>
    <w:rsid w:val="00120BC1"/>
    <w:rsid w:val="00157E8D"/>
    <w:rsid w:val="00196964"/>
    <w:rsid w:val="001C6717"/>
    <w:rsid w:val="00273C6E"/>
    <w:rsid w:val="00352261"/>
    <w:rsid w:val="0039670C"/>
    <w:rsid w:val="003C59C5"/>
    <w:rsid w:val="00402AB5"/>
    <w:rsid w:val="004C3677"/>
    <w:rsid w:val="00506CCF"/>
    <w:rsid w:val="00541684"/>
    <w:rsid w:val="005421B9"/>
    <w:rsid w:val="00551934"/>
    <w:rsid w:val="00556AF4"/>
    <w:rsid w:val="006450B9"/>
    <w:rsid w:val="0066130C"/>
    <w:rsid w:val="0066521F"/>
    <w:rsid w:val="006A2A61"/>
    <w:rsid w:val="006B0291"/>
    <w:rsid w:val="006C65B3"/>
    <w:rsid w:val="00717456"/>
    <w:rsid w:val="00722D71"/>
    <w:rsid w:val="0076183D"/>
    <w:rsid w:val="007823A0"/>
    <w:rsid w:val="007D4D2A"/>
    <w:rsid w:val="007E7494"/>
    <w:rsid w:val="008D5203"/>
    <w:rsid w:val="00900269"/>
    <w:rsid w:val="009354D5"/>
    <w:rsid w:val="009A479B"/>
    <w:rsid w:val="009A6BC4"/>
    <w:rsid w:val="00A1401C"/>
    <w:rsid w:val="00AB0B7C"/>
    <w:rsid w:val="00AE3986"/>
    <w:rsid w:val="00B11A06"/>
    <w:rsid w:val="00B17ED5"/>
    <w:rsid w:val="00B206BF"/>
    <w:rsid w:val="00B36946"/>
    <w:rsid w:val="00C9647A"/>
    <w:rsid w:val="00CB2AC8"/>
    <w:rsid w:val="00CD0707"/>
    <w:rsid w:val="00D121DB"/>
    <w:rsid w:val="00D20266"/>
    <w:rsid w:val="00D853E1"/>
    <w:rsid w:val="00DD1C7A"/>
    <w:rsid w:val="00E9150E"/>
    <w:rsid w:val="00EF1CC2"/>
    <w:rsid w:val="00F1074F"/>
    <w:rsid w:val="00F76022"/>
    <w:rsid w:val="00FA0BD9"/>
    <w:rsid w:val="00FC21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68FCD4"/>
  <w15:docId w15:val="{A4DC4E87-3894-48B8-BE56-E12782C4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7823A0"/>
    <w:pPr>
      <w:spacing w:after="0" w:line="240" w:lineRule="auto"/>
    </w:pPr>
    <w:rPr>
      <w:rFonts w:eastAsiaTheme="minorEastAs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823A0"/>
    <w:pPr>
      <w:ind w:left="720"/>
      <w:contextualSpacing/>
    </w:pPr>
  </w:style>
  <w:style w:type="paragraph" w:styleId="Testofumetto">
    <w:name w:val="Balloon Text"/>
    <w:basedOn w:val="Normale"/>
    <w:link w:val="TestofumettoCarattere"/>
    <w:uiPriority w:val="99"/>
    <w:semiHidden/>
    <w:unhideWhenUsed/>
    <w:rsid w:val="0071745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17456"/>
    <w:rPr>
      <w:rFonts w:ascii="Segoe UI" w:eastAsiaTheme="minorEastAsia" w:hAnsi="Segoe UI" w:cs="Segoe UI"/>
      <w:sz w:val="18"/>
      <w:szCs w:val="18"/>
    </w:rPr>
  </w:style>
  <w:style w:type="paragraph" w:styleId="Intestazione">
    <w:name w:val="header"/>
    <w:basedOn w:val="Normale"/>
    <w:link w:val="IntestazioneCarattere"/>
    <w:uiPriority w:val="99"/>
    <w:unhideWhenUsed/>
    <w:rsid w:val="00273C6E"/>
    <w:pPr>
      <w:tabs>
        <w:tab w:val="center" w:pos="4819"/>
        <w:tab w:val="right" w:pos="9638"/>
      </w:tabs>
    </w:pPr>
  </w:style>
  <w:style w:type="character" w:customStyle="1" w:styleId="IntestazioneCarattere">
    <w:name w:val="Intestazione Carattere"/>
    <w:basedOn w:val="Carpredefinitoparagrafo"/>
    <w:link w:val="Intestazione"/>
    <w:uiPriority w:val="99"/>
    <w:rsid w:val="00273C6E"/>
    <w:rPr>
      <w:rFonts w:eastAsiaTheme="minorEastAsia"/>
      <w:sz w:val="24"/>
      <w:szCs w:val="24"/>
    </w:rPr>
  </w:style>
  <w:style w:type="paragraph" w:styleId="Pidipagina">
    <w:name w:val="footer"/>
    <w:basedOn w:val="Normale"/>
    <w:link w:val="PidipaginaCarattere"/>
    <w:uiPriority w:val="99"/>
    <w:unhideWhenUsed/>
    <w:rsid w:val="00273C6E"/>
    <w:pPr>
      <w:tabs>
        <w:tab w:val="center" w:pos="4819"/>
        <w:tab w:val="right" w:pos="9638"/>
      </w:tabs>
    </w:pPr>
  </w:style>
  <w:style w:type="character" w:customStyle="1" w:styleId="PidipaginaCarattere">
    <w:name w:val="Piè di pagina Carattere"/>
    <w:basedOn w:val="Carpredefinitoparagrafo"/>
    <w:link w:val="Pidipagina"/>
    <w:uiPriority w:val="99"/>
    <w:rsid w:val="00273C6E"/>
    <w:rPr>
      <w:rFonts w:eastAsiaTheme="minorEastAsia"/>
      <w:sz w:val="24"/>
      <w:szCs w:val="24"/>
    </w:rPr>
  </w:style>
  <w:style w:type="table" w:styleId="Grigliatabella">
    <w:name w:val="Table Grid"/>
    <w:basedOn w:val="Tabellanormale"/>
    <w:uiPriority w:val="59"/>
    <w:rsid w:val="00273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6130C"/>
    <w:rPr>
      <w:color w:val="0000FF" w:themeColor="hyperlink"/>
      <w:u w:val="single"/>
    </w:rPr>
  </w:style>
  <w:style w:type="character" w:styleId="Rimandocommento">
    <w:name w:val="annotation reference"/>
    <w:basedOn w:val="Carpredefinitoparagrafo"/>
    <w:uiPriority w:val="99"/>
    <w:semiHidden/>
    <w:unhideWhenUsed/>
    <w:rsid w:val="007D4D2A"/>
    <w:rPr>
      <w:sz w:val="16"/>
      <w:szCs w:val="16"/>
    </w:rPr>
  </w:style>
  <w:style w:type="paragraph" w:styleId="Testocommento">
    <w:name w:val="annotation text"/>
    <w:basedOn w:val="Normale"/>
    <w:link w:val="TestocommentoCarattere"/>
    <w:uiPriority w:val="99"/>
    <w:semiHidden/>
    <w:unhideWhenUsed/>
    <w:rsid w:val="007D4D2A"/>
    <w:rPr>
      <w:sz w:val="20"/>
      <w:szCs w:val="20"/>
    </w:rPr>
  </w:style>
  <w:style w:type="character" w:customStyle="1" w:styleId="TestocommentoCarattere">
    <w:name w:val="Testo commento Carattere"/>
    <w:basedOn w:val="Carpredefinitoparagrafo"/>
    <w:link w:val="Testocommento"/>
    <w:uiPriority w:val="99"/>
    <w:semiHidden/>
    <w:rsid w:val="007D4D2A"/>
    <w:rPr>
      <w:rFonts w:eastAsiaTheme="minorEastAsia"/>
      <w:sz w:val="20"/>
      <w:szCs w:val="20"/>
    </w:rPr>
  </w:style>
  <w:style w:type="paragraph" w:styleId="Soggettocommento">
    <w:name w:val="annotation subject"/>
    <w:basedOn w:val="Testocommento"/>
    <w:next w:val="Testocommento"/>
    <w:link w:val="SoggettocommentoCarattere"/>
    <w:uiPriority w:val="99"/>
    <w:semiHidden/>
    <w:unhideWhenUsed/>
    <w:rsid w:val="007D4D2A"/>
    <w:rPr>
      <w:b/>
      <w:bCs/>
    </w:rPr>
  </w:style>
  <w:style w:type="character" w:customStyle="1" w:styleId="SoggettocommentoCarattere">
    <w:name w:val="Soggetto commento Carattere"/>
    <w:basedOn w:val="TestocommentoCarattere"/>
    <w:link w:val="Soggettocommento"/>
    <w:uiPriority w:val="99"/>
    <w:semiHidden/>
    <w:rsid w:val="007D4D2A"/>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747590">
      <w:bodyDiv w:val="1"/>
      <w:marLeft w:val="0"/>
      <w:marRight w:val="0"/>
      <w:marTop w:val="0"/>
      <w:marBottom w:val="0"/>
      <w:divBdr>
        <w:top w:val="none" w:sz="0" w:space="0" w:color="auto"/>
        <w:left w:val="none" w:sz="0" w:space="0" w:color="auto"/>
        <w:bottom w:val="none" w:sz="0" w:space="0" w:color="auto"/>
        <w:right w:val="none" w:sz="0" w:space="0" w:color="auto"/>
      </w:divBdr>
    </w:div>
    <w:div w:id="1188719422">
      <w:bodyDiv w:val="1"/>
      <w:marLeft w:val="0"/>
      <w:marRight w:val="0"/>
      <w:marTop w:val="0"/>
      <w:marBottom w:val="0"/>
      <w:divBdr>
        <w:top w:val="none" w:sz="0" w:space="0" w:color="auto"/>
        <w:left w:val="none" w:sz="0" w:space="0" w:color="auto"/>
        <w:bottom w:val="none" w:sz="0" w:space="0" w:color="auto"/>
        <w:right w:val="none" w:sz="0" w:space="0" w:color="auto"/>
      </w:divBdr>
    </w:div>
    <w:div w:id="201418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scome3.it" TargetMode="External"/><Relationship Id="rId3" Type="http://schemas.openxmlformats.org/officeDocument/2006/relationships/settings" Target="settings.xml"/><Relationship Id="rId7" Type="http://schemas.openxmlformats.org/officeDocument/2006/relationships/hyperlink" Target="mailto:segreteria@letscome3.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952</Words>
  <Characters>5427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ASL Milano</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Mollica Roberto</dc:creator>
  <cp:lastModifiedBy>Eugenio Valenzi</cp:lastModifiedBy>
  <cp:revision>8</cp:revision>
  <cp:lastPrinted>2017-06-05T08:18:00Z</cp:lastPrinted>
  <dcterms:created xsi:type="dcterms:W3CDTF">2017-06-05T07:50:00Z</dcterms:created>
  <dcterms:modified xsi:type="dcterms:W3CDTF">2017-06-22T13:22:00Z</dcterms:modified>
</cp:coreProperties>
</file>